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9D" w:rsidRPr="00A00243" w:rsidRDefault="00DD259D" w:rsidP="00DD259D">
      <w:pPr>
        <w:pStyle w:val="Heading2"/>
        <w:rPr>
          <w:lang w:val="en-US"/>
        </w:rPr>
      </w:pPr>
      <w:bookmarkStart w:id="0" w:name="_Toc486526546"/>
      <w:r w:rsidRPr="00A00243">
        <w:rPr>
          <w:lang w:val="en-US"/>
        </w:rPr>
        <w:t>Principles and Methods reporting checklist</w:t>
      </w:r>
      <w:bookmarkEnd w:id="0"/>
    </w:p>
    <w:p w:rsidR="00DD259D" w:rsidRDefault="00DD259D" w:rsidP="00DD259D">
      <w:pPr>
        <w:rPr>
          <w:lang w:val="en-US"/>
        </w:rPr>
      </w:pPr>
    </w:p>
    <w:p w:rsidR="00DD259D" w:rsidRPr="00A00243" w:rsidRDefault="00DD259D" w:rsidP="00DD259D">
      <w:pPr>
        <w:rPr>
          <w:lang w:val="en-US"/>
        </w:rPr>
      </w:pPr>
      <w:r>
        <w:rPr>
          <w:lang w:val="en-US"/>
        </w:rPr>
        <w:t>We recommend use of this table for reporting methods. For a specific costing study, the “Options” column should be completed according to how the study was conducted.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9"/>
        <w:gridCol w:w="4411"/>
      </w:tblGrid>
      <w:tr w:rsidR="00DD259D" w:rsidRPr="00257161" w:rsidTr="00FE0CCD">
        <w:trPr>
          <w:trHeight w:val="150"/>
        </w:trPr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</w:p>
        </w:tc>
      </w:tr>
      <w:tr w:rsidR="00DD259D" w:rsidRPr="00257161" w:rsidTr="00FE0CCD">
        <w:trPr>
          <w:trHeight w:val="52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Reference Case</w:t>
            </w:r>
            <w:r w:rsidRPr="00257161">
              <w:rPr>
                <w:b/>
                <w:lang w:eastAsia="en-GB"/>
              </w:rPr>
              <w:t xml:space="preserve"> Checklist Items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b/>
                <w:lang w:eastAsia="en-GB"/>
              </w:rPr>
            </w:pPr>
            <w:r w:rsidRPr="00257161">
              <w:rPr>
                <w:b/>
                <w:lang w:eastAsia="en-GB"/>
              </w:rPr>
              <w:t>Options</w:t>
            </w:r>
          </w:p>
        </w:tc>
      </w:tr>
      <w:tr w:rsidR="00DD259D" w:rsidRPr="00257161" w:rsidTr="00FE0CCD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DD259D" w:rsidRPr="00257161" w:rsidRDefault="00DD259D" w:rsidP="00FE0CCD">
            <w:pPr>
              <w:rPr>
                <w:color w:val="FFFFFF"/>
                <w:lang w:eastAsia="en-GB"/>
              </w:rPr>
            </w:pPr>
            <w:r w:rsidRPr="00257161">
              <w:rPr>
                <w:color w:val="FFFFFF"/>
                <w:lang w:eastAsia="en-GB"/>
              </w:rPr>
              <w:t>STUDY DESIGN AND SCOPE</w:t>
            </w:r>
          </w:p>
        </w:tc>
      </w:tr>
      <w:tr w:rsidR="00DD259D" w:rsidRPr="00257161" w:rsidTr="00FE0CCD">
        <w:trPr>
          <w:trHeight w:val="288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iCs/>
                <w:lang w:eastAsia="en-GB"/>
              </w:rPr>
            </w:pPr>
            <w:r w:rsidRPr="00257161">
              <w:rPr>
                <w:iCs/>
                <w:lang w:eastAsia="en-GB"/>
              </w:rPr>
              <w:t>Principle 1 - The purpose of the study, the population, and the intervention</w:t>
            </w:r>
            <w:r>
              <w:rPr>
                <w:iCs/>
                <w:lang w:eastAsia="en-GB"/>
              </w:rPr>
              <w:t xml:space="preserve"> and/or service/output</w:t>
            </w:r>
            <w:r w:rsidRPr="00257161">
              <w:rPr>
                <w:iCs/>
                <w:lang w:eastAsia="en-GB"/>
              </w:rPr>
              <w:t xml:space="preserve"> being costed should be clearly defined.</w:t>
            </w:r>
          </w:p>
        </w:tc>
      </w:tr>
      <w:tr w:rsidR="00DD259D" w:rsidRPr="00257161" w:rsidTr="00FE0CC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i/>
                <w:iCs/>
                <w:lang w:eastAsia="en-GB"/>
              </w:rPr>
            </w:pPr>
            <w:r w:rsidRPr="00257161">
              <w:rPr>
                <w:i/>
                <w:iCs/>
                <w:lang w:eastAsia="en-GB"/>
              </w:rPr>
              <w:t>Purpose</w:t>
            </w:r>
          </w:p>
        </w:tc>
      </w:tr>
      <w:tr w:rsidR="00DD259D" w:rsidRPr="00257161" w:rsidTr="00FE0CCD">
        <w:trPr>
          <w:trHeight w:val="576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Purpose type</w:t>
            </w:r>
            <w:r>
              <w:rPr>
                <w:lang w:eastAsia="en-GB"/>
              </w:rPr>
              <w:t>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 xml:space="preserve">Economic evaluation, Financial </w:t>
            </w:r>
            <w:r>
              <w:rPr>
                <w:lang w:eastAsia="en-GB"/>
              </w:rPr>
              <w:t>P</w:t>
            </w:r>
            <w:r w:rsidRPr="00257161">
              <w:rPr>
                <w:lang w:eastAsia="en-GB"/>
              </w:rPr>
              <w:t>lanning, Budget</w:t>
            </w:r>
            <w:r>
              <w:rPr>
                <w:lang w:eastAsia="en-GB"/>
              </w:rPr>
              <w:t xml:space="preserve"> Impact Analysis</w:t>
            </w:r>
            <w:r w:rsidRPr="00257161">
              <w:rPr>
                <w:lang w:eastAsia="en-GB"/>
              </w:rPr>
              <w:t>, Efficiency Analysis, Other</w:t>
            </w:r>
          </w:p>
        </w:tc>
      </w:tr>
      <w:tr w:rsidR="00DD259D" w:rsidRPr="00257161" w:rsidTr="00FE0CCD">
        <w:trPr>
          <w:trHeight w:val="288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Relevance for health practice and/or policy decisions: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Free text</w:t>
            </w:r>
            <w:r w:rsidR="008E65B3">
              <w:rPr>
                <w:lang w:eastAsia="en-GB"/>
              </w:rPr>
              <w:t xml:space="preserve">   </w:t>
            </w:r>
            <w:bookmarkStart w:id="1" w:name="_GoBack"/>
            <w:bookmarkEnd w:id="1"/>
          </w:p>
        </w:tc>
      </w:tr>
      <w:tr w:rsidR="00DD259D" w:rsidRPr="00257161" w:rsidTr="00FE0CCD">
        <w:trPr>
          <w:trHeight w:val="288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Aim of the cost analysis</w:t>
            </w:r>
            <w:r>
              <w:rPr>
                <w:lang w:eastAsia="en-GB"/>
              </w:rPr>
              <w:t>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288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Intended user(s) of the cost estimate: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i/>
                <w:iCs/>
                <w:lang w:eastAsia="en-GB"/>
              </w:rPr>
            </w:pPr>
            <w:r w:rsidRPr="00257161">
              <w:rPr>
                <w:i/>
                <w:iCs/>
                <w:lang w:eastAsia="en-GB"/>
              </w:rPr>
              <w:t>Intervention</w:t>
            </w:r>
          </w:p>
        </w:tc>
      </w:tr>
      <w:tr w:rsidR="00DD259D" w:rsidRPr="00257161" w:rsidTr="00FE0CCD">
        <w:trPr>
          <w:trHeight w:val="288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Main activities/technologies involved: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492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Target population: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As relevant: age, gender, geographical location</w:t>
            </w:r>
            <w:r>
              <w:rPr>
                <w:lang w:eastAsia="en-GB"/>
              </w:rPr>
              <w:t>, clinical indication</w:t>
            </w:r>
          </w:p>
        </w:tc>
      </w:tr>
      <w:tr w:rsidR="00DD259D" w:rsidRPr="00257161" w:rsidTr="00FE0CCD">
        <w:trPr>
          <w:trHeight w:val="288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>
              <w:rPr>
                <w:lang w:eastAsia="en-GB"/>
              </w:rPr>
              <w:t>Coverage level: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Percentage of target population or sites</w:t>
            </w:r>
          </w:p>
        </w:tc>
      </w:tr>
      <w:tr w:rsidR="00DD259D" w:rsidRPr="00257161" w:rsidTr="00FE0CCD">
        <w:trPr>
          <w:trHeight w:val="576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Delivery mechanism (e.g.</w:t>
            </w:r>
            <w:r>
              <w:rPr>
                <w:lang w:eastAsia="en-GB"/>
              </w:rPr>
              <w:t>,</w:t>
            </w:r>
            <w:r w:rsidRPr="00257161">
              <w:rPr>
                <w:lang w:eastAsia="en-GB"/>
              </w:rPr>
              <w:t xml:space="preserve"> health system level, facility type, ownership, etc.):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As relevant: level of health service, facility type</w:t>
            </w:r>
          </w:p>
        </w:tc>
      </w:tr>
      <w:tr w:rsidR="00DD259D" w:rsidRPr="00257161" w:rsidTr="00FE0CCD">
        <w:trPr>
          <w:trHeight w:val="288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Epidemiological context (i.e.</w:t>
            </w:r>
            <w:r>
              <w:rPr>
                <w:lang w:eastAsia="en-GB"/>
              </w:rPr>
              <w:t>,</w:t>
            </w:r>
            <w:r w:rsidRPr="00257161">
              <w:rPr>
                <w:lang w:eastAsia="en-GB"/>
              </w:rPr>
              <w:t xml:space="preserve"> incidence/prevalence of disease)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As relevant: incidence and/or prevalence</w:t>
            </w:r>
          </w:p>
        </w:tc>
      </w:tr>
      <w:tr w:rsidR="00DD259D" w:rsidRPr="00257161" w:rsidTr="00FE0CCD">
        <w:trPr>
          <w:trHeight w:val="804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Intervention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t>Describe production process (e.g.</w:t>
            </w:r>
            <w:r>
              <w:rPr>
                <w:lang w:eastAsia="en-GB"/>
              </w:rPr>
              <w:t>,</w:t>
            </w:r>
            <w:r w:rsidRPr="00257161">
              <w:rPr>
                <w:lang w:eastAsia="en-GB"/>
              </w:rPr>
              <w:t xml:space="preserve"> list main activities and key </w:t>
            </w:r>
            <w:r>
              <w:rPr>
                <w:lang w:eastAsia="en-GB"/>
              </w:rPr>
              <w:t>technologies involved in delivering the intervention</w:t>
            </w:r>
            <w:r w:rsidRPr="00257161">
              <w:rPr>
                <w:lang w:eastAsia="en-GB"/>
              </w:rPr>
              <w:t>)</w:t>
            </w:r>
          </w:p>
        </w:tc>
      </w:tr>
    </w:tbl>
    <w:p w:rsidR="00DD259D" w:rsidRDefault="00DD259D" w:rsidP="00DD259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73"/>
        <w:gridCol w:w="4282"/>
      </w:tblGrid>
      <w:tr w:rsidR="00DD259D" w:rsidRPr="00257161" w:rsidTr="00FE0CCD">
        <w:trPr>
          <w:trHeight w:val="5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D259D" w:rsidRPr="00257161" w:rsidRDefault="00DD259D" w:rsidP="00FE0CCD">
            <w:pPr>
              <w:rPr>
                <w:lang w:eastAsia="en-GB"/>
              </w:rPr>
            </w:pPr>
            <w:r w:rsidRPr="00257161">
              <w:rPr>
                <w:lang w:eastAsia="en-GB"/>
              </w:rPr>
              <w:lastRenderedPageBreak/>
              <w:t>Principle 2 - The perspective (extent of the resource use cap</w:t>
            </w:r>
            <w:r>
              <w:rPr>
                <w:lang w:eastAsia="en-GB"/>
              </w:rPr>
              <w:t>t</w:t>
            </w:r>
            <w:r w:rsidRPr="00257161">
              <w:rPr>
                <w:lang w:eastAsia="en-GB"/>
              </w:rPr>
              <w:t>ured) of the cost estimation should be stated and justified relevant to purpose</w:t>
            </w:r>
            <w:r>
              <w:rPr>
                <w:lang w:eastAsia="en-GB"/>
              </w:rPr>
              <w:t>.</w:t>
            </w:r>
          </w:p>
        </w:tc>
      </w:tr>
      <w:tr w:rsidR="00DD259D" w:rsidRPr="00257161" w:rsidTr="00FE0CCD">
        <w:trPr>
          <w:trHeight w:val="57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Study perspective (e.g.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provider, health system, societal, household):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(Named) p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rovider or societal, and list specific payers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 State any stopping rules.</w:t>
            </w:r>
          </w:p>
        </w:tc>
      </w:tr>
      <w:tr w:rsidR="00DD259D" w:rsidRPr="00257161" w:rsidTr="00FE0CC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3 - The type of cost being estimated should be clearly defined, in terms of economic vs financial, real world vs guideline, and 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ncremental vs full cost, and whe</w:t>
            </w: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ther the cost is 'net of future cost', should be justified relevant to purpose.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Defining the cost</w:t>
            </w:r>
          </w:p>
        </w:tc>
      </w:tr>
      <w:tr w:rsidR="00DD259D" w:rsidRPr="00257161" w:rsidTr="00FE0CCD">
        <w:trPr>
          <w:trHeight w:val="864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Economic vs. financial cost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Economic vs. financial cost</w:t>
            </w:r>
          </w:p>
        </w:tc>
      </w:tr>
      <w:tr w:rsidR="00DD259D" w:rsidRPr="00257161" w:rsidTr="00FE0CCD">
        <w:trPr>
          <w:trHeight w:val="864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Real world' vs guideline cost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Real world' vs guideline cost</w:t>
            </w:r>
          </w:p>
        </w:tc>
      </w:tr>
      <w:tr w:rsidR="00DD259D" w:rsidRPr="00257161" w:rsidTr="00FE0CCD">
        <w:trPr>
          <w:trHeight w:val="864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Full vs incremental cost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Full vs incremental cost</w:t>
            </w:r>
          </w:p>
        </w:tc>
      </w:tr>
      <w:tr w:rsidR="00DD259D" w:rsidRPr="00257161" w:rsidTr="00FE0CCD">
        <w:trPr>
          <w:trHeight w:val="864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Net of future cost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Yes or No</w:t>
            </w:r>
          </w:p>
        </w:tc>
      </w:tr>
      <w:tr w:rsidR="00DD259D" w:rsidRPr="00257161" w:rsidTr="00FE0CCD">
        <w:trPr>
          <w:trHeight w:val="86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4 -  The ‘units’ in the unit costs for strategies, services and interventions should be defined, relevant for the costing purpose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,</w:t>
            </w: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and generalizable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</w:t>
            </w: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DD259D" w:rsidRPr="00257161" w:rsidTr="00FE0CCD">
        <w:trPr>
          <w:trHeight w:val="864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List the unit costs used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Choose from </w:t>
            </w:r>
            <w:r w:rsidRPr="00267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list of standardized unit costs</w:t>
            </w:r>
          </w:p>
        </w:tc>
      </w:tr>
      <w:tr w:rsidR="00DD259D" w:rsidRPr="00257161" w:rsidTr="00FE0CCD">
        <w:trPr>
          <w:trHeight w:val="864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adjustments made to reflect the quality of service output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Choose from </w:t>
            </w:r>
            <w:r w:rsidRPr="00267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list of standardized adjustments</w:t>
            </w:r>
          </w:p>
        </w:tc>
      </w:tr>
      <w:tr w:rsidR="00DD259D" w:rsidRPr="00257161" w:rsidTr="00FE0CCD">
        <w:trPr>
          <w:trHeight w:val="708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5 - The time horizon should be of sufficient length to capture all costs relevant to the purpose, and consideration should be given to disaggregating costs into separate time periods where appropriate.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Time period</w:t>
            </w:r>
            <w:proofErr w:type="gramEnd"/>
          </w:p>
        </w:tc>
      </w:tr>
      <w:tr w:rsidR="00DD259D" w:rsidRPr="00257161" w:rsidTr="00FE0CCD">
        <w:trPr>
          <w:trHeight w:val="102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Period type (start-up vs implementation):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Start-up, implementation or both</w:t>
            </w:r>
          </w:p>
        </w:tc>
      </w:tr>
      <w:tr w:rsidR="00DD259D" w:rsidRPr="00257161" w:rsidTr="00FE0CCD">
        <w:trPr>
          <w:trHeight w:val="864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Time period</w:t>
            </w:r>
            <w:proofErr w:type="gramEnd"/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Years and months</w:t>
            </w:r>
          </w:p>
        </w:tc>
      </w:tr>
    </w:tbl>
    <w:p w:rsidR="00DD259D" w:rsidRDefault="00DD259D" w:rsidP="00DD259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7"/>
        <w:gridCol w:w="4288"/>
      </w:tblGrid>
      <w:tr w:rsidR="00DD259D" w:rsidRPr="00257161" w:rsidTr="00FE0CCD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lastRenderedPageBreak/>
              <w:t>SERVICE AND RESOURCE USE MEASUREMENT</w:t>
            </w:r>
          </w:p>
        </w:tc>
      </w:tr>
      <w:tr w:rsidR="00DD259D" w:rsidRPr="00257161" w:rsidTr="00FE0CCD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6 - The scope of the inputs to include in the cost estimation should be defined and justified relevant to purpose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DD259D" w:rsidRPr="00257161" w:rsidTr="00FE0CCD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Defining the scope</w:t>
            </w:r>
          </w:p>
        </w:tc>
      </w:tr>
      <w:tr w:rsidR="00DD259D" w:rsidRPr="00257161" w:rsidTr="00FE0CCD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Above service delivery costs included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Yes or No</w:t>
            </w:r>
          </w:p>
        </w:tc>
      </w:tr>
      <w:tr w:rsidR="00DD259D" w:rsidRPr="00257161" w:rsidTr="00FE0CCD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Costs of supporting change included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Yes or No</w:t>
            </w:r>
          </w:p>
        </w:tc>
      </w:tr>
      <w:tr w:rsidR="00DD259D" w:rsidRPr="00257161" w:rsidTr="00FE0CCD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Research costs included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Yes or No</w:t>
            </w:r>
          </w:p>
        </w:tc>
      </w:tr>
      <w:tr w:rsidR="00DD259D" w:rsidRPr="00257161" w:rsidTr="00FE0CCD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Unrelated costs included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Yes or No</w:t>
            </w:r>
          </w:p>
        </w:tc>
      </w:tr>
      <w:tr w:rsidR="00DD259D" w:rsidRPr="00257161" w:rsidTr="00FE0CCD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If incremental costs, assumptions made for existing capacity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Any exclusions other to scope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51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7 - The methods for estimating the quantity of inputs should be described, including data sources and criteria for allocating resources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DD259D" w:rsidRPr="00257161" w:rsidTr="00FE0CCD">
        <w:trPr>
          <w:trHeight w:val="108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the measurement of each input as either top-down or bottom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up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down or bottom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up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method to allocate human resources inputs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Observation, time sheets, work-sampling, interviews, other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methods to allocate above site/overhead inputs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Method, criteria and data source for criteria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the methods for excluding research costs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Method, criteria and data source for criteria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the metho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ds for measuring other resources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Method and data source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Principle 8 - The sampling strategy used should be determined by the precision demanded by the costing purpose and </w:t>
            </w:r>
            <w:r w:rsidRPr="002679A6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designed to minimize bias.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Site/client selection process/criteria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geographic sampling (if applicable)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Frame and method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Describe site sampling (if applicable)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Frame and method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patient sampling (if applicable)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Frame and method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methods to calculate sample size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Calculation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Principle 9 - The selection of the data source(s) and methods for estimating service use should be described, and potential biases reported in the study limitations.   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Identify the data source used to measure the units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Case note extraction, patient interviews, provider interviews, routine information systems, claims data, other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Where relevant describe the sampling frame, method and size: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method used to fill missing data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Principle 10 - Consideration should be given to the timing of data </w:t>
            </w:r>
            <w:r w:rsidRPr="00293C0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collection to minimize recall bias and, where relevant, the impact of seasonality and other differences over time.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 timing of data collection should be specified in the following ways:</w:t>
            </w:r>
          </w:p>
        </w:tc>
      </w:tr>
      <w:tr w:rsidR="00DD259D" w:rsidRPr="00257161" w:rsidTr="00FE0CCD">
        <w:trPr>
          <w:trHeight w:val="438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Timing of data collection (resource and service use)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of data collection</w:t>
            </w:r>
          </w:p>
        </w:tc>
      </w:tr>
      <w:tr w:rsidR="00DD259D" w:rsidRPr="00257161" w:rsidTr="00FE0CCD">
        <w:trPr>
          <w:trHeight w:val="72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Prospective or retrospective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Prospective or retrospective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Longitudinal vs cross-sectional data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Longitudinal vs cross-sectional data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ecall period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 w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here relevant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Months or weeks</w:t>
            </w:r>
          </w:p>
        </w:tc>
      </w:tr>
    </w:tbl>
    <w:p w:rsidR="00DD259D" w:rsidRDefault="00DD259D" w:rsidP="00DD259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7"/>
        <w:gridCol w:w="4288"/>
      </w:tblGrid>
      <w:tr w:rsidR="00DD259D" w:rsidRPr="00257161" w:rsidTr="00FE0CCD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lastRenderedPageBreak/>
              <w:t>VALUATION AND PRICING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11 - The sources for price data should be listed by input, and clear delineation should be made between local and international price data sources, and tradeable, non-tradeable goods.</w:t>
            </w:r>
          </w:p>
        </w:tc>
      </w:tr>
      <w:tr w:rsidR="00DD259D" w:rsidRPr="00257161" w:rsidTr="00DD259D">
        <w:trPr>
          <w:trHeight w:val="80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Report the sources of price data by input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Ministry of Health, local market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etc.</w:t>
            </w:r>
          </w:p>
        </w:tc>
      </w:tr>
      <w:tr w:rsidR="00DD259D" w:rsidRPr="00257161" w:rsidTr="00FE0CCD">
        <w:trPr>
          <w:trHeight w:val="60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Report inputs where local and international prices were used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Local or international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12 - Capital costs should be appropriately annuitized or depreciated to reflect the expected life of capital inputs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DD259D" w:rsidRPr="00257161" w:rsidTr="00FE0CCD">
        <w:trPr>
          <w:trHeight w:val="767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Describe the depreciation approach 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Straight line depreciation,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amortization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discount rate used for capital goods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Report the expected life years of capital goods, and data sou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Years and free text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13 - Where relevant an appropriate discount rate, inflation and exchange rates should be used, and clearly stated.</w:t>
            </w:r>
          </w:p>
        </w:tc>
      </w:tr>
      <w:tr w:rsidR="00DD259D" w:rsidRPr="00257161" w:rsidTr="00DD259D">
        <w:trPr>
          <w:trHeight w:val="665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discount rate used for future costs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</w:t>
            </w:r>
          </w:p>
        </w:tc>
      </w:tr>
      <w:tr w:rsidR="00DD259D" w:rsidRPr="00257161" w:rsidTr="00DD259D">
        <w:trPr>
          <w:trHeight w:val="7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the reported currency year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Currency and Year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conversions made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Exchange rate, Source and Year</w:t>
            </w:r>
          </w:p>
        </w:tc>
      </w:tr>
      <w:tr w:rsidR="00DD259D" w:rsidRPr="00257161" w:rsidTr="00DD259D">
        <w:trPr>
          <w:trHeight w:val="737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Report the inflation type and rate used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Percentage, GDP deflator/ CPI, Source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14 - The use and source of shadow prices for goods and for the opportunity cost of time should be reported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</w:t>
            </w: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Methods for valuing the following should be reported: 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DD259D" w:rsidRDefault="00DD259D" w:rsidP="00DD259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Report methods for valuing volunteer time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86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Report adjustments for input prices (donated or </w:t>
            </w:r>
            <w:r w:rsidRPr="00CE4D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subsidized goods)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8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DD259D" w:rsidRPr="00257161" w:rsidRDefault="009D258C" w:rsidP="00FE0CC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lastRenderedPageBreak/>
              <w:t>ANALYZ</w:t>
            </w:r>
            <w:r w:rsidR="00DD259D" w:rsidRPr="0025716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ING AND PRESENTING RESULTS</w:t>
            </w:r>
          </w:p>
        </w:tc>
      </w:tr>
      <w:tr w:rsidR="00DD259D" w:rsidRPr="00257161" w:rsidTr="00FE0CCD">
        <w:trPr>
          <w:trHeight w:val="86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Principle 15 - Variation in the cost of the intervention by site s</w:t>
            </w:r>
            <w:r w:rsidRPr="00CE4D4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ize/ organization, sub-populations, or by other drivers of heterogeneity should be explored and reported.</w:t>
            </w:r>
          </w:p>
        </w:tc>
      </w:tr>
      <w:tr w:rsidR="00DD259D" w:rsidRPr="00257161" w:rsidTr="00FE0CCD">
        <w:trPr>
          <w:trHeight w:val="666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sub-groups or populatio</w:t>
            </w:r>
            <w:r w:rsidRPr="00CE4D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ns </w:t>
            </w:r>
            <w:proofErr w:type="spellStart"/>
            <w:r w:rsidRPr="00CE4D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analyzed</w:t>
            </w:r>
            <w:proofErr w:type="spellEnd"/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DD259D">
        <w:trPr>
          <w:trHeight w:val="728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statistical methods used to establish differences in unit costs by sub-group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DD259D">
        <w:trPr>
          <w:trHeight w:val="66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any determinants of cost (model specification)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DD259D">
        <w:trPr>
          <w:trHeight w:val="62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E4D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Describe any multivariate statistical methods used to </w:t>
            </w:r>
            <w:proofErr w:type="spellStart"/>
            <w:r w:rsidRPr="00CE4D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analyze</w:t>
            </w:r>
            <w:proofErr w:type="spellEnd"/>
            <w:r w:rsidRPr="00CE4D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cost functions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86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Principle 16 - The uncertainty associated with cost estimates </w:t>
            </w:r>
            <w:r w:rsidRPr="00CE4D4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should be appropriately characterized.</w:t>
            </w:r>
          </w:p>
        </w:tc>
      </w:tr>
      <w:tr w:rsidR="00DD259D" w:rsidRPr="00257161" w:rsidTr="00FE0CCD">
        <w:trPr>
          <w:trHeight w:val="638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Describe sensitivity analyses conducted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DD259D">
        <w:trPr>
          <w:trHeight w:val="512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List possible sources of bias 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Principle 17 - Cost estimates should be communicated clearly and transparently to enable decision-maker(s) to interpret and use the results. 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Limitations</w:t>
            </w:r>
          </w:p>
        </w:tc>
      </w:tr>
      <w:tr w:rsidR="00DD259D" w:rsidRPr="00257161" w:rsidTr="00DD259D">
        <w:trPr>
          <w:trHeight w:val="557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Limitations in the design, analysis, and results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DD259D">
        <w:trPr>
          <w:trHeight w:val="7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Aspects of the cost estimates that would limit generalizability of results to other cons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titu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encies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Conflicts of Interest</w:t>
            </w:r>
          </w:p>
        </w:tc>
      </w:tr>
      <w:tr w:rsidR="00DD259D" w:rsidRPr="00257161" w:rsidTr="00FE0CCD">
        <w:trPr>
          <w:trHeight w:val="659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pecuniary and non-pecuniary interests of the study contributors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628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sources of funding that supported conduct of the costing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DD259D">
        <w:trPr>
          <w:trHeight w:val="593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monetary sources of support for conduct of the costing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text</w:t>
            </w:r>
          </w:p>
        </w:tc>
      </w:tr>
      <w:tr w:rsidR="00DD259D" w:rsidRPr="00257161" w:rsidTr="00FE0CCD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Open access</w:t>
            </w:r>
          </w:p>
        </w:tc>
      </w:tr>
      <w:tr w:rsidR="00DD259D" w:rsidRPr="00257161" w:rsidTr="00DD259D">
        <w:trPr>
          <w:trHeight w:val="512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Dataset available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9D" w:rsidRPr="00257161" w:rsidRDefault="00DD259D" w:rsidP="00FE0C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7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Yes or No</w:t>
            </w:r>
          </w:p>
        </w:tc>
      </w:tr>
    </w:tbl>
    <w:p w:rsidR="00D4011D" w:rsidRPr="00DD259D" w:rsidRDefault="00D4011D" w:rsidP="00DD259D">
      <w:pPr>
        <w:tabs>
          <w:tab w:val="left" w:pos="5580"/>
        </w:tabs>
      </w:pPr>
    </w:p>
    <w:sectPr w:rsidR="00D4011D" w:rsidRPr="00DD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17" w:rsidRDefault="00347417" w:rsidP="00DD259D">
      <w:pPr>
        <w:spacing w:after="0" w:line="240" w:lineRule="auto"/>
      </w:pPr>
      <w:r>
        <w:separator/>
      </w:r>
    </w:p>
  </w:endnote>
  <w:endnote w:type="continuationSeparator" w:id="0">
    <w:p w:rsidR="00347417" w:rsidRDefault="00347417" w:rsidP="00DD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17" w:rsidRDefault="00347417" w:rsidP="00DD259D">
      <w:pPr>
        <w:spacing w:after="0" w:line="240" w:lineRule="auto"/>
      </w:pPr>
      <w:r>
        <w:separator/>
      </w:r>
    </w:p>
  </w:footnote>
  <w:footnote w:type="continuationSeparator" w:id="0">
    <w:p w:rsidR="00347417" w:rsidRDefault="00347417" w:rsidP="00DD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30C8CD8A"/>
    <w:lvl w:ilvl="0">
      <w:start w:val="1"/>
      <w:numFmt w:val="upperLetter"/>
      <w:pStyle w:val="Heading1"/>
      <w:lvlText w:val="SECTION %1  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567" w:hanging="56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6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01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15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01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9D"/>
    <w:rsid w:val="00092DE9"/>
    <w:rsid w:val="00254712"/>
    <w:rsid w:val="00347417"/>
    <w:rsid w:val="004E5B0A"/>
    <w:rsid w:val="008261B0"/>
    <w:rsid w:val="0088780C"/>
    <w:rsid w:val="008E65B3"/>
    <w:rsid w:val="009D258C"/>
    <w:rsid w:val="00D4011D"/>
    <w:rsid w:val="00D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0471"/>
  <w15:chartTrackingRefBased/>
  <w15:docId w15:val="{D765CB4F-8C78-49C8-9B9E-C4414D1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59D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59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59D"/>
    <w:pPr>
      <w:keepNext/>
      <w:keepLines/>
      <w:numPr>
        <w:ilvl w:val="1"/>
        <w:numId w:val="1"/>
      </w:numPr>
      <w:pBdr>
        <w:bottom w:val="single" w:sz="4" w:space="1" w:color="auto"/>
      </w:pBdr>
      <w:spacing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59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59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59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59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59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59D"/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D259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D259D"/>
    <w:rPr>
      <w:rFonts w:asciiTheme="majorHAnsi" w:eastAsiaTheme="majorEastAsia" w:hAnsiTheme="majorHAnsi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D259D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D"/>
    <w:rPr>
      <w:rFonts w:asciiTheme="majorHAnsi" w:eastAsiaTheme="majorEastAsia" w:hAnsiTheme="majorHAnsi" w:cstheme="majorBidi"/>
      <w:color w:val="323E4F" w:themeColor="text2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D"/>
    <w:rPr>
      <w:rFonts w:asciiTheme="majorHAnsi" w:eastAsiaTheme="majorEastAsia" w:hAnsiTheme="majorHAnsi" w:cstheme="majorBidi"/>
      <w:i/>
      <w:iCs/>
      <w:color w:val="323E4F" w:themeColor="text2" w:themeShade="B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59D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5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9D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9D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WDeCormier</dc:creator>
  <cp:keywords/>
  <dc:description/>
  <cp:lastModifiedBy>WDeCormier</cp:lastModifiedBy>
  <cp:revision>2</cp:revision>
  <dcterms:created xsi:type="dcterms:W3CDTF">2017-12-01T18:55:00Z</dcterms:created>
  <dcterms:modified xsi:type="dcterms:W3CDTF">2017-12-01T18:55:00Z</dcterms:modified>
</cp:coreProperties>
</file>